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10.0.0 -->
  <w:body>
    <w:p w:rsidR="00C538D6" w:rsidP="00C538D6">
      <w:pPr>
        <w:pStyle w:val="Heading1"/>
        <w:shd w:val="clear" w:color="auto" w:fill="FFFFFF"/>
        <w:spacing w:before="150" w:beforeAutospacing="0" w:after="225" w:afterAutospacing="0"/>
        <w:rPr>
          <w:rFonts w:ascii="Arial" w:hAnsi="Arial" w:cs="Arial"/>
          <w:color w:val="444444"/>
          <w:sz w:val="39"/>
          <w:szCs w:val="39"/>
        </w:rPr>
      </w:pPr>
      <w:bookmarkStart w:id="0" w:name="_GoBack"/>
      <w:bookmarkEnd w:id="0"/>
      <w:r>
        <w:rPr>
          <w:rFonts w:ascii="Arial" w:hAnsi="Arial" w:cs="Arial"/>
          <w:color w:val="444444"/>
          <w:sz w:val="39"/>
          <w:szCs w:val="39"/>
        </w:rPr>
        <w:t xml:space="preserve">S&amp;P 500 Index </w:t>
      </w:r>
      <w:r w:rsidR="008831BA">
        <w:rPr>
          <w:rFonts w:ascii="Arial" w:hAnsi="Arial" w:cs="Arial"/>
          <w:color w:val="444444"/>
          <w:sz w:val="39"/>
          <w:szCs w:val="39"/>
        </w:rPr>
        <w:t>–</w:t>
      </w:r>
      <w:r>
        <w:rPr>
          <w:rFonts w:ascii="Arial" w:hAnsi="Arial" w:cs="Arial"/>
          <w:color w:val="444444"/>
          <w:sz w:val="39"/>
          <w:szCs w:val="39"/>
        </w:rPr>
        <w:t xml:space="preserve"> </w:t>
      </w:r>
      <w:r w:rsidR="008831BA">
        <w:rPr>
          <w:rFonts w:ascii="Arial" w:hAnsi="Arial" w:cs="Arial"/>
          <w:color w:val="444444"/>
          <w:sz w:val="39"/>
          <w:szCs w:val="39"/>
        </w:rPr>
        <w:t>3</w:t>
      </w:r>
      <w:r>
        <w:rPr>
          <w:rFonts w:ascii="Arial" w:hAnsi="Arial" w:cs="Arial"/>
          <w:color w:val="444444"/>
          <w:sz w:val="39"/>
          <w:szCs w:val="39"/>
        </w:rPr>
        <w:t>0</w:t>
      </w:r>
      <w:r w:rsidR="008831BA">
        <w:rPr>
          <w:rFonts w:ascii="Arial" w:hAnsi="Arial" w:cs="Arial"/>
          <w:color w:val="444444"/>
          <w:sz w:val="39"/>
          <w:szCs w:val="39"/>
        </w:rPr>
        <w:t>-</w:t>
      </w:r>
      <w:r>
        <w:rPr>
          <w:rFonts w:ascii="Arial" w:hAnsi="Arial" w:cs="Arial"/>
          <w:color w:val="444444"/>
          <w:sz w:val="39"/>
          <w:szCs w:val="39"/>
        </w:rPr>
        <w:t>Year Historical Chart</w:t>
      </w:r>
      <w:r w:rsidR="006830BE">
        <w:rPr>
          <w:rFonts w:ascii="Arial" w:hAnsi="Arial" w:cs="Arial"/>
          <w:color w:val="444444"/>
          <w:sz w:val="39"/>
          <w:szCs w:val="39"/>
        </w:rPr>
        <w:t xml:space="preserve"> [Slide 1]</w:t>
      </w:r>
    </w:p>
    <w:p w:rsidR="000F4C09" w:rsidP="00C538D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hd w:val="clear" w:color="auto" w:fill="FFFFFF"/>
        </w:rPr>
      </w:pPr>
      <w:r>
        <w:rPr>
          <w:rFonts w:ascii="Arial" w:hAnsi="Arial" w:cs="Arial"/>
          <w:color w:val="444444"/>
          <w:shd w:val="clear" w:color="auto" w:fill="FFFFFF"/>
        </w:rPr>
        <w:t>Interactive chart of the S&amp;P 500 stock market index since 1927. Historical data is inflation-adjusted using the headline CPI and each data point represents the month-end closing value. The current month is updated on an hourly basis with today's latest value. The current price of the S&amp;P 500 as of June 08, 2020 is </w:t>
      </w:r>
      <w:r>
        <w:rPr>
          <w:rStyle w:val="Strong"/>
          <w:rFonts w:ascii="Arial" w:hAnsi="Arial" w:cs="Arial"/>
          <w:color w:val="444444"/>
          <w:shd w:val="clear" w:color="auto" w:fill="FFFFFF"/>
        </w:rPr>
        <w:t>3,232.39</w:t>
      </w:r>
      <w:r>
        <w:rPr>
          <w:rFonts w:ascii="Arial" w:hAnsi="Arial" w:cs="Arial"/>
          <w:color w:val="444444"/>
          <w:shd w:val="clear" w:color="auto" w:fill="FFFFFF"/>
        </w:rPr>
        <w:t>.</w:t>
      </w:r>
    </w:p>
    <w:p w:rsidR="00C538D6">
      <w:r>
        <w:rPr>
          <w:noProof/>
        </w:rPr>
        <w:drawing>
          <wp:inline distT="0" distB="0" distL="0" distR="0">
            <wp:extent cx="5961888" cy="3749040"/>
            <wp:effectExtent l="0" t="0" r="127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888" cy="374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w:rsidR="00C538D6">
      <w:r w:rsidRPr="000F4C09">
        <w:rPr>
          <w:u w:val="single"/>
        </w:rPr>
        <w:t>Source</w:t>
      </w:r>
      <w:r>
        <w:t xml:space="preserve">: MacroTrends (data available at </w:t>
      </w:r>
      <w:r w:rsidRPr="000F4C09">
        <w:t>https://www.macrotrends.net/2324/sp-500-historical-chart-data</w:t>
      </w:r>
      <w:r>
        <w:t>)</w:t>
      </w:r>
      <w:r>
        <w:br w:type="page"/>
      </w:r>
    </w:p>
    <w:p w:rsidR="00C538D6" w:rsidP="00C538D6">
      <w:pPr>
        <w:pStyle w:val="Heading1"/>
        <w:shd w:val="clear" w:color="auto" w:fill="FFFFFF"/>
        <w:spacing w:before="150" w:beforeAutospacing="0" w:after="225" w:afterAutospacing="0"/>
        <w:rPr>
          <w:rFonts w:ascii="Arial" w:hAnsi="Arial" w:cs="Arial"/>
          <w:color w:val="444444"/>
          <w:sz w:val="39"/>
          <w:szCs w:val="39"/>
        </w:rPr>
      </w:pPr>
      <w:r>
        <w:rPr>
          <w:rFonts w:ascii="Arial" w:hAnsi="Arial" w:cs="Arial"/>
          <w:color w:val="444444"/>
          <w:sz w:val="39"/>
          <w:szCs w:val="39"/>
        </w:rPr>
        <w:t>VIX Volatility Index - Historical Chart</w:t>
      </w:r>
      <w:r w:rsidR="006830BE">
        <w:rPr>
          <w:rFonts w:ascii="Arial" w:hAnsi="Arial" w:cs="Arial"/>
          <w:color w:val="444444"/>
          <w:sz w:val="39"/>
          <w:szCs w:val="39"/>
        </w:rPr>
        <w:t xml:space="preserve"> [Slide 2]</w:t>
      </w:r>
    </w:p>
    <w:p w:rsidR="00C538D6" w:rsidP="00C538D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Interactive historical chart showing the daily level of the CBOE VIX Volatility Index back to </w:t>
      </w:r>
      <w:r w:rsidR="00303B50">
        <w:rPr>
          <w:rFonts w:ascii="Arial" w:hAnsi="Arial" w:cs="Arial"/>
          <w:color w:val="444444"/>
        </w:rPr>
        <w:t>2005</w:t>
      </w:r>
      <w:r>
        <w:rPr>
          <w:rFonts w:ascii="Arial" w:hAnsi="Arial" w:cs="Arial"/>
          <w:color w:val="444444"/>
        </w:rPr>
        <w:t xml:space="preserve">. The VIX index measures the expectation of stock market volatility over the next 30 days implied by S&amp;P 500 index options. The current VIX index level as of </w:t>
      </w:r>
      <w:r w:rsidR="003F0901">
        <w:rPr>
          <w:rFonts w:ascii="Arial" w:hAnsi="Arial" w:cs="Arial"/>
          <w:color w:val="444444"/>
        </w:rPr>
        <w:t>June</w:t>
      </w:r>
      <w:r>
        <w:rPr>
          <w:rFonts w:ascii="Arial" w:hAnsi="Arial" w:cs="Arial"/>
          <w:color w:val="444444"/>
        </w:rPr>
        <w:t xml:space="preserve"> </w:t>
      </w:r>
      <w:r w:rsidR="00F7412F">
        <w:rPr>
          <w:rFonts w:ascii="Arial" w:hAnsi="Arial" w:cs="Arial"/>
          <w:color w:val="444444"/>
        </w:rPr>
        <w:t>8</w:t>
      </w:r>
      <w:r>
        <w:rPr>
          <w:rFonts w:ascii="Arial" w:hAnsi="Arial" w:cs="Arial"/>
          <w:color w:val="444444"/>
        </w:rPr>
        <w:t>, 2020 is </w:t>
      </w:r>
      <w:r>
        <w:rPr>
          <w:rStyle w:val="Strong"/>
          <w:rFonts w:ascii="Arial" w:hAnsi="Arial" w:cs="Arial"/>
          <w:color w:val="444444"/>
        </w:rPr>
        <w:t>2</w:t>
      </w:r>
      <w:r w:rsidR="00F7412F">
        <w:rPr>
          <w:rStyle w:val="Strong"/>
          <w:rFonts w:ascii="Arial" w:hAnsi="Arial" w:cs="Arial"/>
          <w:color w:val="444444"/>
        </w:rPr>
        <w:t>5</w:t>
      </w:r>
      <w:r>
        <w:rPr>
          <w:rStyle w:val="Strong"/>
          <w:rFonts w:ascii="Arial" w:hAnsi="Arial" w:cs="Arial"/>
          <w:color w:val="444444"/>
        </w:rPr>
        <w:t>.</w:t>
      </w:r>
      <w:r w:rsidR="00F7412F">
        <w:rPr>
          <w:rStyle w:val="Strong"/>
          <w:rFonts w:ascii="Arial" w:hAnsi="Arial" w:cs="Arial"/>
          <w:color w:val="444444"/>
        </w:rPr>
        <w:t>81</w:t>
      </w:r>
      <w:r>
        <w:rPr>
          <w:rFonts w:ascii="Arial" w:hAnsi="Arial" w:cs="Arial"/>
          <w:color w:val="444444"/>
        </w:rPr>
        <w:t>.</w:t>
      </w:r>
    </w:p>
    <w:p w:rsidR="00C538D6"/>
    <w:p w:rsidR="00C538D6">
      <w:r>
        <w:rPr>
          <w:noProof/>
        </w:rPr>
        <w:drawing>
          <wp:inline distT="0" distB="0" distL="0" distR="0">
            <wp:extent cx="4764024" cy="2999232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024" cy="2999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8D6">
      <w:r w:rsidRPr="000F4C09">
        <w:rPr>
          <w:u w:val="single"/>
        </w:rPr>
        <w:t>Source</w:t>
      </w:r>
      <w:r>
        <w:t xml:space="preserve">: MacroTrends (data available at </w:t>
      </w:r>
      <w:r w:rsidRPr="000F4C09">
        <w:t>https://www.macrotrends.net/2603/vix-volatility-index-historical-chart</w:t>
      </w:r>
      <w:r>
        <w:t>)</w:t>
      </w:r>
    </w:p>
    <w:p w:rsidR="00DC1DC1" w:rsidP="00DC1DC1">
      <w:pPr>
        <w:jc w:val="center"/>
      </w:pPr>
      <w:r w:rsidRPr="00DC1DC1">
        <w:rPr>
          <w:rFonts w:ascii="inherit" w:eastAsia="Times New Roman" w:hAnsi="inherit" w:cs="Times New Roman"/>
          <w:noProof/>
          <w:sz w:val="24"/>
          <w:szCs w:val="24"/>
        </w:rPr>
        <w:drawing>
          <wp:inline distT="0" distB="0" distL="0" distR="0">
            <wp:extent cx="4819015" cy="5943600"/>
            <wp:effectExtent l="0" t="0" r="63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01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EF6" w:rsidRPr="00C538D6" w:rsidP="001C0EF6">
      <w:pPr>
        <w:shd w:val="clear" w:color="auto" w:fill="FFFFFF"/>
        <w:spacing w:before="150" w:after="225" w:line="240" w:lineRule="auto"/>
        <w:outlineLvl w:val="0"/>
        <w:rPr>
          <w:rFonts w:ascii="Arial" w:eastAsia="Times New Roman" w:hAnsi="Arial" w:cs="Arial"/>
          <w:b/>
          <w:bCs/>
          <w:color w:val="444444"/>
          <w:kern w:val="36"/>
          <w:sz w:val="39"/>
          <w:szCs w:val="39"/>
        </w:rPr>
      </w:pPr>
      <w:r w:rsidRPr="00C538D6">
        <w:rPr>
          <w:rFonts w:ascii="Arial" w:eastAsia="Times New Roman" w:hAnsi="Arial" w:cs="Arial"/>
          <w:b/>
          <w:bCs/>
          <w:color w:val="444444"/>
          <w:kern w:val="36"/>
          <w:sz w:val="39"/>
          <w:szCs w:val="39"/>
        </w:rPr>
        <w:t xml:space="preserve">Dow Jones - 1929 Crash and </w:t>
      </w:r>
      <w:r>
        <w:rPr>
          <w:rFonts w:ascii="Arial" w:eastAsia="Times New Roman" w:hAnsi="Arial" w:cs="Arial"/>
          <w:b/>
          <w:bCs/>
          <w:color w:val="444444"/>
          <w:kern w:val="36"/>
          <w:sz w:val="39"/>
          <w:szCs w:val="39"/>
        </w:rPr>
        <w:t xml:space="preserve">3-Year </w:t>
      </w:r>
      <w:r w:rsidRPr="00C538D6">
        <w:rPr>
          <w:rFonts w:ascii="Arial" w:eastAsia="Times New Roman" w:hAnsi="Arial" w:cs="Arial"/>
          <w:b/>
          <w:bCs/>
          <w:color w:val="444444"/>
          <w:kern w:val="36"/>
          <w:sz w:val="39"/>
          <w:szCs w:val="39"/>
        </w:rPr>
        <w:t>Bear Market</w:t>
      </w:r>
      <w:r>
        <w:rPr>
          <w:rFonts w:ascii="Arial" w:eastAsia="Times New Roman" w:hAnsi="Arial" w:cs="Arial"/>
          <w:b/>
          <w:bCs/>
          <w:color w:val="444444"/>
          <w:kern w:val="36"/>
          <w:sz w:val="39"/>
          <w:szCs w:val="39"/>
        </w:rPr>
        <w:t xml:space="preserve"> [Slide 4]</w:t>
      </w:r>
    </w:p>
    <w:p w:rsidR="001C0EF6" w:rsidP="001C0E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C538D6">
        <w:rPr>
          <w:rFonts w:ascii="Arial" w:eastAsia="Times New Roman" w:hAnsi="Arial" w:cs="Arial"/>
          <w:color w:val="444444"/>
          <w:sz w:val="24"/>
          <w:szCs w:val="24"/>
        </w:rPr>
        <w:t>This interactive chart shows detailed daily performance of the Dow Jones Industrial Average during the bear market of 1929</w:t>
      </w:r>
      <w:r>
        <w:rPr>
          <w:rFonts w:ascii="Arial" w:eastAsia="Times New Roman" w:hAnsi="Arial" w:cs="Arial"/>
          <w:color w:val="444444"/>
          <w:sz w:val="24"/>
          <w:szCs w:val="24"/>
        </w:rPr>
        <w:t>-1932</w:t>
      </w:r>
      <w:r w:rsidRPr="00C538D6">
        <w:rPr>
          <w:rFonts w:ascii="Arial" w:eastAsia="Times New Roman" w:hAnsi="Arial" w:cs="Arial"/>
          <w:color w:val="444444"/>
          <w:sz w:val="24"/>
          <w:szCs w:val="24"/>
        </w:rPr>
        <w:t>. Although it was the crash of 1929 that gained the most attention, stocks continued to fall for another three years until bottoming out in July of 1932.</w:t>
      </w:r>
    </w:p>
    <w:p w:rsidR="001C0EF6" w:rsidP="001C0EF6"/>
    <w:p w:rsidR="001C0EF6" w:rsidP="001C0EF6">
      <w:r>
        <w:t>(Log Scale)</w:t>
      </w:r>
    </w:p>
    <w:p w:rsidR="001C0EF6" w:rsidP="001C0EF6">
      <w:r>
        <w:rPr>
          <w:noProof/>
        </w:rPr>
        <w:drawing>
          <wp:inline distT="0" distB="0" distL="0" distR="0">
            <wp:extent cx="5939155" cy="381000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EF6" w:rsidP="001C0EF6">
      <w:r>
        <w:br w:type="page"/>
      </w:r>
    </w:p>
    <w:p w:rsidR="006C1C36" w:rsidP="001C0EF6">
      <w:pPr>
        <w:shd w:val="clear" w:color="auto" w:fill="FFFFFF"/>
        <w:spacing w:before="150" w:after="225" w:line="240" w:lineRule="auto"/>
        <w:outlineLvl w:val="0"/>
        <w:rPr>
          <w:rFonts w:ascii="Arial" w:eastAsia="Times New Roman" w:hAnsi="Arial" w:cs="Arial"/>
          <w:b/>
          <w:bCs/>
          <w:color w:val="444444"/>
          <w:kern w:val="36"/>
          <w:sz w:val="39"/>
          <w:szCs w:val="39"/>
        </w:rPr>
      </w:pPr>
      <w:r>
        <w:rPr>
          <w:rFonts w:ascii="Arial" w:eastAsia="Times New Roman" w:hAnsi="Arial" w:cs="Arial"/>
          <w:b/>
          <w:bCs/>
          <w:color w:val="444444"/>
          <w:kern w:val="36"/>
          <w:sz w:val="39"/>
          <w:szCs w:val="39"/>
        </w:rPr>
        <w:t xml:space="preserve"> </w:t>
      </w:r>
      <w:r w:rsidR="006830BE">
        <w:rPr>
          <w:rFonts w:ascii="Arial" w:eastAsia="Times New Roman" w:hAnsi="Arial" w:cs="Arial"/>
          <w:b/>
          <w:bCs/>
          <w:color w:val="444444"/>
          <w:kern w:val="36"/>
          <w:sz w:val="39"/>
          <w:szCs w:val="39"/>
        </w:rPr>
        <w:t xml:space="preserve">[Slide </w:t>
      </w:r>
      <w:r>
        <w:rPr>
          <w:rFonts w:ascii="Arial" w:eastAsia="Times New Roman" w:hAnsi="Arial" w:cs="Arial"/>
          <w:b/>
          <w:bCs/>
          <w:color w:val="444444"/>
          <w:kern w:val="36"/>
          <w:sz w:val="39"/>
          <w:szCs w:val="39"/>
        </w:rPr>
        <w:t>5</w:t>
      </w:r>
      <w:r w:rsidR="006830BE">
        <w:rPr>
          <w:rFonts w:ascii="Arial" w:eastAsia="Times New Roman" w:hAnsi="Arial" w:cs="Arial"/>
          <w:b/>
          <w:bCs/>
          <w:color w:val="444444"/>
          <w:kern w:val="36"/>
          <w:sz w:val="39"/>
          <w:szCs w:val="39"/>
        </w:rPr>
        <w:t>]</w:t>
      </w:r>
    </w:p>
    <w:p w:rsidR="006C1C36" w:rsidP="00DC1DC1">
      <w:pPr>
        <w:shd w:val="clear" w:color="auto" w:fill="FFFFFF"/>
        <w:spacing w:before="150" w:after="225" w:line="240" w:lineRule="auto"/>
        <w:outlineLvl w:val="0"/>
        <w:rPr>
          <w:rFonts w:ascii="Arial" w:eastAsia="Times New Roman" w:hAnsi="Arial" w:cs="Arial"/>
          <w:b/>
          <w:bCs/>
          <w:color w:val="444444"/>
          <w:kern w:val="36"/>
          <w:sz w:val="39"/>
          <w:szCs w:val="39"/>
        </w:rPr>
      </w:pPr>
      <w:r>
        <w:rPr>
          <w:noProof/>
        </w:rPr>
        <w:drawing>
          <wp:inline distT="0" distB="0" distL="0" distR="0">
            <wp:extent cx="8211185" cy="4589780"/>
            <wp:effectExtent l="0" t="0" r="0" b="1270"/>
            <wp:docPr id="3" name="Picture 3" descr="A close up of a map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map&#10;&#10;Description automatically generated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1185" cy="458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C36" w:rsidP="00DC1DC1">
      <w:pPr>
        <w:shd w:val="clear" w:color="auto" w:fill="FFFFFF"/>
        <w:spacing w:before="150" w:after="225" w:line="240" w:lineRule="auto"/>
        <w:outlineLvl w:val="0"/>
        <w:rPr>
          <w:rFonts w:ascii="Arial" w:eastAsia="Times New Roman" w:hAnsi="Arial" w:cs="Arial"/>
          <w:b/>
          <w:bCs/>
          <w:color w:val="444444"/>
          <w:kern w:val="36"/>
          <w:sz w:val="39"/>
          <w:szCs w:val="39"/>
        </w:rPr>
      </w:pPr>
    </w:p>
    <w:p w:rsidR="006C1C36" w:rsidP="00DC1DC1">
      <w:pPr>
        <w:shd w:val="clear" w:color="auto" w:fill="FFFFFF"/>
        <w:spacing w:before="150" w:after="225" w:line="240" w:lineRule="auto"/>
        <w:outlineLvl w:val="0"/>
        <w:rPr>
          <w:rFonts w:ascii="Arial" w:eastAsia="Times New Roman" w:hAnsi="Arial" w:cs="Arial"/>
          <w:b/>
          <w:bCs/>
          <w:color w:val="444444"/>
          <w:kern w:val="36"/>
          <w:sz w:val="39"/>
          <w:szCs w:val="39"/>
        </w:rPr>
      </w:pPr>
    </w:p>
    <w:p w:rsidR="0007447F" w:rsidRPr="0007447F" w:rsidP="0007447F">
      <w:pPr>
        <w:pStyle w:val="Heading1"/>
        <w:shd w:val="clear" w:color="auto" w:fill="FFFFFF"/>
        <w:spacing w:before="150" w:beforeAutospacing="0" w:after="225" w:afterAutospacing="0"/>
        <w:rPr>
          <w:rFonts w:ascii="Arial" w:hAnsi="Arial" w:cs="Arial"/>
          <w:color w:val="444444"/>
          <w:sz w:val="39"/>
          <w:szCs w:val="39"/>
        </w:rPr>
      </w:pPr>
      <w:r w:rsidRPr="0007447F">
        <w:rPr>
          <w:rFonts w:ascii="Arial" w:hAnsi="Arial" w:cs="Arial"/>
          <w:color w:val="444444"/>
          <w:sz w:val="39"/>
          <w:szCs w:val="39"/>
        </w:rPr>
        <w:t xml:space="preserve">Daily </w:t>
      </w:r>
      <w:r w:rsidR="00D16549">
        <w:rPr>
          <w:rFonts w:ascii="Arial" w:hAnsi="Arial" w:cs="Arial"/>
          <w:color w:val="444444"/>
          <w:sz w:val="39"/>
          <w:szCs w:val="39"/>
        </w:rPr>
        <w:t>D</w:t>
      </w:r>
      <w:r w:rsidRPr="0007447F">
        <w:rPr>
          <w:rFonts w:ascii="Arial" w:hAnsi="Arial" w:cs="Arial"/>
          <w:color w:val="444444"/>
          <w:sz w:val="39"/>
          <w:szCs w:val="39"/>
        </w:rPr>
        <w:t xml:space="preserve">eaths </w:t>
      </w:r>
      <w:r w:rsidR="00D16549">
        <w:rPr>
          <w:rFonts w:ascii="Arial" w:hAnsi="Arial" w:cs="Arial"/>
          <w:color w:val="444444"/>
          <w:sz w:val="39"/>
          <w:szCs w:val="39"/>
        </w:rPr>
        <w:t>P</w:t>
      </w:r>
      <w:r w:rsidRPr="0007447F">
        <w:rPr>
          <w:rFonts w:ascii="Arial" w:hAnsi="Arial" w:cs="Arial"/>
          <w:color w:val="444444"/>
          <w:sz w:val="39"/>
          <w:szCs w:val="39"/>
        </w:rPr>
        <w:t xml:space="preserve">er </w:t>
      </w:r>
      <w:r w:rsidR="00D16549">
        <w:rPr>
          <w:rFonts w:ascii="Arial" w:hAnsi="Arial" w:cs="Arial"/>
          <w:color w:val="444444"/>
          <w:sz w:val="39"/>
          <w:szCs w:val="39"/>
        </w:rPr>
        <w:t>M</w:t>
      </w:r>
      <w:r w:rsidRPr="0007447F">
        <w:rPr>
          <w:rFonts w:ascii="Arial" w:hAnsi="Arial" w:cs="Arial"/>
          <w:color w:val="444444"/>
          <w:sz w:val="39"/>
          <w:szCs w:val="39"/>
        </w:rPr>
        <w:t xml:space="preserve">illion </w:t>
      </w:r>
      <w:r w:rsidR="00D16549">
        <w:rPr>
          <w:rFonts w:ascii="Arial" w:hAnsi="Arial" w:cs="Arial"/>
          <w:color w:val="444444"/>
          <w:sz w:val="39"/>
          <w:szCs w:val="39"/>
        </w:rPr>
        <w:t>P</w:t>
      </w:r>
      <w:r w:rsidRPr="0007447F">
        <w:rPr>
          <w:rFonts w:ascii="Arial" w:hAnsi="Arial" w:cs="Arial"/>
          <w:color w:val="444444"/>
          <w:sz w:val="39"/>
          <w:szCs w:val="39"/>
        </w:rPr>
        <w:t xml:space="preserve">eople from Covid-19, </w:t>
      </w:r>
      <w:r>
        <w:rPr>
          <w:rFonts w:ascii="Arial" w:hAnsi="Arial" w:cs="Arial"/>
          <w:color w:val="444444"/>
          <w:sz w:val="39"/>
          <w:szCs w:val="39"/>
        </w:rPr>
        <w:br/>
      </w:r>
      <w:r w:rsidR="00D16549">
        <w:rPr>
          <w:rFonts w:ascii="Arial" w:hAnsi="Arial" w:cs="Arial"/>
          <w:color w:val="444444"/>
          <w:sz w:val="39"/>
          <w:szCs w:val="39"/>
        </w:rPr>
        <w:t>S</w:t>
      </w:r>
      <w:r w:rsidRPr="0007447F">
        <w:rPr>
          <w:rFonts w:ascii="Arial" w:hAnsi="Arial" w:cs="Arial"/>
          <w:color w:val="444444"/>
          <w:sz w:val="39"/>
          <w:szCs w:val="39"/>
        </w:rPr>
        <w:t>even-</w:t>
      </w:r>
      <w:r w:rsidR="00D16549">
        <w:rPr>
          <w:rFonts w:ascii="Arial" w:hAnsi="Arial" w:cs="Arial"/>
          <w:color w:val="444444"/>
          <w:sz w:val="39"/>
          <w:szCs w:val="39"/>
        </w:rPr>
        <w:t>D</w:t>
      </w:r>
      <w:r w:rsidRPr="0007447F">
        <w:rPr>
          <w:rFonts w:ascii="Arial" w:hAnsi="Arial" w:cs="Arial"/>
          <w:color w:val="444444"/>
          <w:sz w:val="39"/>
          <w:szCs w:val="39"/>
        </w:rPr>
        <w:t xml:space="preserve">ay </w:t>
      </w:r>
      <w:r w:rsidR="00D16549">
        <w:rPr>
          <w:rFonts w:ascii="Arial" w:hAnsi="Arial" w:cs="Arial"/>
          <w:color w:val="444444"/>
          <w:sz w:val="39"/>
          <w:szCs w:val="39"/>
        </w:rPr>
        <w:t>M</w:t>
      </w:r>
      <w:r w:rsidRPr="0007447F">
        <w:rPr>
          <w:rFonts w:ascii="Arial" w:hAnsi="Arial" w:cs="Arial"/>
          <w:color w:val="444444"/>
          <w:sz w:val="39"/>
          <w:szCs w:val="39"/>
        </w:rPr>
        <w:t xml:space="preserve">oving </w:t>
      </w:r>
      <w:r w:rsidR="00D16549">
        <w:rPr>
          <w:rFonts w:ascii="Arial" w:hAnsi="Arial" w:cs="Arial"/>
          <w:color w:val="444444"/>
          <w:sz w:val="39"/>
          <w:szCs w:val="39"/>
        </w:rPr>
        <w:t>A</w:t>
      </w:r>
      <w:r w:rsidRPr="0007447F">
        <w:rPr>
          <w:rFonts w:ascii="Arial" w:hAnsi="Arial" w:cs="Arial"/>
          <w:color w:val="444444"/>
          <w:sz w:val="39"/>
          <w:szCs w:val="39"/>
        </w:rPr>
        <w:t>verage [Slide 6]</w:t>
      </w:r>
    </w:p>
    <w:p w:rsidR="0007447F" w:rsidP="0007447F">
      <w:pPr>
        <w:jc w:val="center"/>
      </w:pPr>
      <w:r>
        <w:rPr>
          <w:noProof/>
        </w:rPr>
        <w:drawing>
          <wp:inline distT="0" distB="0" distL="0" distR="0">
            <wp:extent cx="4681728" cy="4535424"/>
            <wp:effectExtent l="0" t="0" r="5080" b="0"/>
            <wp:docPr id="4" name="Picture 4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C08949.tmp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1728" cy="4535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47F" w:rsidP="0007447F"/>
    <w:p w:rsidR="00DC1DC1" w:rsidRPr="00DC1DC1" w:rsidP="00DC1DC1">
      <w:r w:rsidRPr="00A05BF6">
        <w:rPr>
          <w:u w:val="single"/>
        </w:rPr>
        <w:t>Source</w:t>
      </w:r>
      <w:r>
        <w:rPr>
          <w:u w:val="single"/>
        </w:rPr>
        <w:t>s</w:t>
      </w:r>
      <w:r>
        <w:t>: Wall Street Journal and Our World in Data</w:t>
      </w:r>
    </w:p>
    <w:sectPr w:rsidSect="00C538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2D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2D0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2D0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2D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2D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2D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538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8D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53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38D6"/>
    <w:rPr>
      <w:b/>
      <w:bCs/>
    </w:rPr>
  </w:style>
  <w:style w:type="character" w:customStyle="1" w:styleId="text1">
    <w:name w:val="text1"/>
    <w:basedOn w:val="DefaultParagraphFont"/>
    <w:rsid w:val="00CC060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F4C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C09"/>
  </w:style>
  <w:style w:type="paragraph" w:styleId="Footer">
    <w:name w:val="footer"/>
    <w:basedOn w:val="Normal"/>
    <w:link w:val="FooterChar"/>
    <w:uiPriority w:val="99"/>
    <w:unhideWhenUsed/>
    <w:rsid w:val="000F4C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C09"/>
  </w:style>
  <w:style w:type="character" w:styleId="Hyperlink">
    <w:name w:val="Hyperlink"/>
    <w:basedOn w:val="DefaultParagraphFont"/>
    <w:uiPriority w:val="99"/>
    <w:semiHidden/>
    <w:unhideWhenUsed/>
    <w:rsid w:val="000F4C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jpe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2020-06-09T11:19:19Z</dcterms:created>
  <dcterms:modified xsi:type="dcterms:W3CDTF">2020-06-09T11:19:19Z</dcterms:modified>
</cp:coreProperties>
</file>